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val="0"/>
        <w:snapToGrid w:val="0"/>
        <w:spacing w:line="560" w:lineRule="exact"/>
        <w:ind w:firstLine="723" w:firstLineChars="200"/>
        <w:jc w:val="center"/>
        <w:textAlignment w:val="auto"/>
        <w:rPr>
          <w:rFonts w:hint="eastAsia" w:ascii="宋体" w:hAnsi="宋体" w:eastAsia="宋体" w:cs="宋体"/>
          <w:b/>
          <w:bCs/>
          <w:sz w:val="36"/>
          <w:szCs w:val="44"/>
        </w:rPr>
      </w:pPr>
      <w:bookmarkStart w:id="0" w:name="_GoBack"/>
      <w:r>
        <w:rPr>
          <w:rFonts w:hint="eastAsia" w:ascii="宋体" w:hAnsi="宋体" w:eastAsia="宋体" w:cs="宋体"/>
          <w:b/>
          <w:bCs/>
          <w:sz w:val="36"/>
          <w:szCs w:val="44"/>
        </w:rPr>
        <w:t>对外投资备案(核准)报告暂行办法</w:t>
      </w:r>
    </w:p>
    <w:bookmarkEnd w:id="0"/>
    <w:p>
      <w:pPr>
        <w:widowControl w:val="0"/>
        <w:wordWrap/>
        <w:adjustRightInd w:val="0"/>
        <w:snapToGrid w:val="0"/>
        <w:spacing w:line="560" w:lineRule="exact"/>
        <w:ind w:firstLine="640" w:firstLineChars="200"/>
        <w:textAlignment w:val="auto"/>
        <w:rPr>
          <w:rFonts w:hint="eastAsia" w:ascii="仿宋" w:hAnsi="仿宋" w:eastAsia="仿宋" w:cs="仿宋"/>
          <w:sz w:val="32"/>
          <w:szCs w:val="40"/>
        </w:rPr>
      </w:pPr>
    </w:p>
    <w:p>
      <w:pPr>
        <w:widowControl w:val="0"/>
        <w:wordWrap/>
        <w:adjustRightInd w:val="0"/>
        <w:snapToGrid w:val="0"/>
        <w:spacing w:line="560" w:lineRule="exact"/>
        <w:ind w:firstLine="643" w:firstLineChars="200"/>
        <w:textAlignment w:val="auto"/>
        <w:rPr>
          <w:rFonts w:hint="eastAsia" w:ascii="仿宋" w:hAnsi="仿宋" w:eastAsia="仿宋" w:cs="仿宋"/>
          <w:b/>
          <w:bCs/>
          <w:sz w:val="32"/>
          <w:szCs w:val="40"/>
        </w:rPr>
      </w:pPr>
      <w:r>
        <w:rPr>
          <w:rFonts w:hint="eastAsia" w:ascii="仿宋" w:hAnsi="仿宋" w:eastAsia="仿宋" w:cs="仿宋"/>
          <w:b/>
          <w:bCs/>
          <w:sz w:val="32"/>
          <w:szCs w:val="40"/>
        </w:rPr>
        <w:t>第一章 总则</w:t>
      </w:r>
    </w:p>
    <w:p>
      <w:pPr>
        <w:widowControl w:val="0"/>
        <w:wordWrap/>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第一条 为进一步完善对外投资管理制度，有效防范风险，引导对外投资健康有序发展，推进“一带一路”建设顺利实施，依据有关规定和规范企业海外经营行为的相关要求，制定本《办法》。</w:t>
      </w:r>
    </w:p>
    <w:p>
      <w:pPr>
        <w:widowControl w:val="0"/>
        <w:wordWrap/>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第二条 本办法所称对外投资备案（核准），系指境内投资主体在境外设立（包括兼并、收购及其他方式）企业前，按规定向有关主管部门提交相关信息和材料；符合法定要求的，相关主管部门为其办理备案或核准。</w:t>
      </w:r>
    </w:p>
    <w:p>
      <w:pPr>
        <w:widowControl w:val="0"/>
        <w:wordWrap/>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前款所述境内投资主体是指开展对外投资活动的境内机构，另有规定的除外；前款所述企业为最终目的地企业，最终目的地指境内投资主体投资最终用于项目建设或持续生产经营的所在地。</w:t>
      </w:r>
    </w:p>
    <w:p>
      <w:pPr>
        <w:widowControl w:val="0"/>
        <w:wordWrap/>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第三条 境内投资主体在开展对外投资的过程中，按规定向相关主管部门报告其对外投资情况并提供相关信息；相关主管部门依据其报告的情况和信息制定对外投资政策，开展对外投资监督、管理和服务。</w:t>
      </w:r>
    </w:p>
    <w:p>
      <w:pPr>
        <w:widowControl w:val="0"/>
        <w:wordWrap/>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第四条 对外投资备案（核准）报告工作由各部门分工协作，实行管理分级分类、信息统一归口、违规联合惩戒的管理模式。商务部牵头对外投资备案（核准）报告信息统一汇总。商务、金融、国资等主管部门依各自职能依法开展境内投资主体对外投资备案（核准）报告等工作，按照“横向协作、纵向联动”的原则，形成监管合力。</w:t>
      </w:r>
    </w:p>
    <w:p>
      <w:pPr>
        <w:widowControl w:val="0"/>
        <w:wordWrap/>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第五条 境内投资主体是对外投资的市场主体、决策主体、执行主体和责任主体，按照“政府引导、企业主导、市场化运作”的原则开展对外投资，自主决策，自担风险，自负盈亏。</w:t>
      </w:r>
    </w:p>
    <w:p>
      <w:pPr>
        <w:widowControl w:val="0"/>
        <w:wordWrap/>
        <w:adjustRightInd w:val="0"/>
        <w:snapToGrid w:val="0"/>
        <w:spacing w:line="560" w:lineRule="exact"/>
        <w:ind w:firstLine="643" w:firstLineChars="200"/>
        <w:textAlignment w:val="auto"/>
        <w:rPr>
          <w:rFonts w:hint="eastAsia" w:ascii="仿宋" w:hAnsi="仿宋" w:eastAsia="仿宋" w:cs="仿宋"/>
          <w:b/>
          <w:bCs/>
          <w:sz w:val="32"/>
          <w:szCs w:val="40"/>
        </w:rPr>
      </w:pPr>
      <w:r>
        <w:rPr>
          <w:rFonts w:hint="eastAsia" w:ascii="仿宋" w:hAnsi="仿宋" w:eastAsia="仿宋" w:cs="仿宋"/>
          <w:b/>
          <w:bCs/>
          <w:sz w:val="32"/>
          <w:szCs w:val="40"/>
        </w:rPr>
        <w:t>第二章 备案和核准</w:t>
      </w:r>
    </w:p>
    <w:p>
      <w:pPr>
        <w:widowControl w:val="0"/>
        <w:wordWrap/>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第六条 商务主管部门、金融管理部门依据各自职责负责境内投资主体对外投资的备案或核准管理。国务院国资委负责履行出资人职责的中央企业对外投资的监督和管理。</w:t>
      </w:r>
    </w:p>
    <w:p>
      <w:pPr>
        <w:widowControl w:val="0"/>
        <w:wordWrap/>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相关主管部门应根据各自职责按照“鼓励发展+负面清单”的模式建立健全相应的对外投资备案（核准）办法。</w:t>
      </w:r>
    </w:p>
    <w:p>
      <w:pPr>
        <w:widowControl w:val="0"/>
        <w:wordWrap/>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第七条 鼓励相关主管部门运用电子政务手段实行对外投资网上备案（核准）管理，提高办事效率，提供优质服务。</w:t>
      </w:r>
    </w:p>
    <w:p>
      <w:pPr>
        <w:widowControl w:val="0"/>
        <w:wordWrap/>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第八条 相关主管部门应根据境内投资主体提交的备案（核准）材料进行相关审查；符合要求的，应正式受理，并按有关规定办理。境内投资主体对外投资应提供的材料由相关主管部门规定。</w:t>
      </w:r>
    </w:p>
    <w:p>
      <w:pPr>
        <w:widowControl w:val="0"/>
        <w:wordWrap/>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第九条 国务院国资委履行出资人职责的中央企业的对外投资，属于《中央企业境外投资监督管理办法》（国资委令第35号）规定的“特别监管类”项目的，应按照国有资产监督管理要求履行相应手续。</w:t>
      </w:r>
    </w:p>
    <w:p>
      <w:pPr>
        <w:widowControl w:val="0"/>
        <w:wordWrap/>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第十条 人民银行、国务院国资委、银监会、证监会、保监会将每个月度办理的对外投资备案（核准）事项情况，于次月15个工作日内通报商务部汇总。商务部定期将汇总信息反馈给上述部门和机构。</w:t>
      </w:r>
    </w:p>
    <w:p>
      <w:pPr>
        <w:widowControl w:val="0"/>
        <w:wordWrap/>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第十一条境内投资主体履行对外投资备案（核准）手续后，应根据外汇管理部门要求办理相关外汇登记。</w:t>
      </w:r>
    </w:p>
    <w:p>
      <w:pPr>
        <w:widowControl w:val="0"/>
        <w:wordWrap/>
        <w:adjustRightInd w:val="0"/>
        <w:snapToGrid w:val="0"/>
        <w:spacing w:line="560" w:lineRule="exact"/>
        <w:ind w:firstLine="643" w:firstLineChars="200"/>
        <w:textAlignment w:val="auto"/>
        <w:rPr>
          <w:rFonts w:hint="eastAsia" w:ascii="仿宋" w:hAnsi="仿宋" w:eastAsia="仿宋" w:cs="仿宋"/>
          <w:b/>
          <w:bCs/>
          <w:sz w:val="32"/>
          <w:szCs w:val="40"/>
        </w:rPr>
      </w:pPr>
      <w:r>
        <w:rPr>
          <w:rFonts w:hint="eastAsia" w:ascii="仿宋" w:hAnsi="仿宋" w:eastAsia="仿宋" w:cs="仿宋"/>
          <w:b/>
          <w:bCs/>
          <w:sz w:val="32"/>
          <w:szCs w:val="40"/>
        </w:rPr>
        <w:t>第三章 报告</w:t>
      </w:r>
    </w:p>
    <w:p>
      <w:pPr>
        <w:widowControl w:val="0"/>
        <w:wordWrap/>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第十二条 境内投资主体应按照“凡备案（核准）必报”的原则向为其办理备案（核准）手续的相关主管部门定期报送对外投资关键环节信息。</w:t>
      </w:r>
    </w:p>
    <w:p>
      <w:pPr>
        <w:widowControl w:val="0"/>
        <w:wordWrap/>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第十三条 境内投资主体报送的信息包括但不限于以下信息：根据《对外直接投资统计制度》规定应填报的月度、年度信息；对外投资并购前期事项；对外投资在建项目进展情况;对外投资存在主要问题以及遵守当地法律法规、保护资源环境、保障员工合法权益、履行社会责任、安全保护制度落实情况等。</w:t>
      </w:r>
    </w:p>
    <w:p>
      <w:pPr>
        <w:widowControl w:val="0"/>
        <w:wordWrap/>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境内投资主体报送信息的具体内容、途径、频率等由相关主管部门依据职责另行规定。</w:t>
      </w:r>
    </w:p>
    <w:p>
      <w:pPr>
        <w:widowControl w:val="0"/>
        <w:wordWrap/>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第十四条 人民银行、国务院国资委、银监会、证监会、保监会对负责的境内投资主体报送的对外投资信息，每半年后1个月内通报商务部统一汇总。商务部定期将汇总信息反馈给上述部门。</w:t>
      </w:r>
    </w:p>
    <w:p>
      <w:pPr>
        <w:widowControl w:val="0"/>
        <w:wordWrap/>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第十五条 商务部建立“境外企业和对外投资联络服务平台”(以下简称平台），相关主管部门可通过平台将对外投资备案（核准）报告信息转商务部，实现信息数据共享，共同做好对外投资监管。</w:t>
      </w:r>
    </w:p>
    <w:p>
      <w:pPr>
        <w:widowControl w:val="0"/>
        <w:wordWrap/>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第十六条 境内投资主体对外投资出现重大不利事件或突发安全事件时，按“一事一报”原则及时向相关主管部门报送，相关主管部门将情况通报商务部。</w:t>
      </w:r>
    </w:p>
    <w:p>
      <w:pPr>
        <w:widowControl w:val="0"/>
        <w:wordWrap/>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第十七条 相关主管部门应按照本部门职责和分工，充分利用商务部汇总收集的信息，动态跟踪研判对外投资领域涉及国民经济运行、国家利益、行为规范、安全保护、汇率、外汇储备、跨境资本流动等问题和风险，按轻重缓急发出提示预警，引导企业加强风险管理、促进对外投资健康发展。</w:t>
      </w:r>
    </w:p>
    <w:p>
      <w:pPr>
        <w:widowControl w:val="0"/>
        <w:wordWrap/>
        <w:adjustRightInd w:val="0"/>
        <w:snapToGrid w:val="0"/>
        <w:spacing w:line="560" w:lineRule="exact"/>
        <w:ind w:firstLine="643" w:firstLineChars="200"/>
        <w:textAlignment w:val="auto"/>
        <w:rPr>
          <w:rFonts w:hint="eastAsia" w:ascii="仿宋" w:hAnsi="仿宋" w:eastAsia="仿宋" w:cs="仿宋"/>
          <w:b/>
          <w:bCs/>
          <w:sz w:val="32"/>
          <w:szCs w:val="40"/>
        </w:rPr>
      </w:pPr>
      <w:r>
        <w:rPr>
          <w:rFonts w:hint="eastAsia" w:ascii="仿宋" w:hAnsi="仿宋" w:eastAsia="仿宋" w:cs="仿宋"/>
          <w:b/>
          <w:bCs/>
          <w:sz w:val="32"/>
          <w:szCs w:val="40"/>
        </w:rPr>
        <w:t>第四章 监管</w:t>
      </w:r>
    </w:p>
    <w:p>
      <w:pPr>
        <w:widowControl w:val="0"/>
        <w:wordWrap/>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第十八条 相关主管部门应对所负责的对外投资进行监督管理，对以下对外投资情形进行重点督查：</w:t>
      </w:r>
    </w:p>
    <w:p>
      <w:pPr>
        <w:widowControl w:val="0"/>
        <w:wordWrap/>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（一）中方投资额等值3亿美元（含3亿美元）以上的对外投资；</w:t>
      </w:r>
    </w:p>
    <w:p>
      <w:pPr>
        <w:widowControl w:val="0"/>
        <w:wordWrap/>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（二）敏感国别（地区）、敏感行业的对外投资；</w:t>
      </w:r>
    </w:p>
    <w:p>
      <w:pPr>
        <w:widowControl w:val="0"/>
        <w:wordWrap/>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（三）出现重大经菅亏损的对外投资；</w:t>
      </w:r>
    </w:p>
    <w:p>
      <w:pPr>
        <w:widowControl w:val="0"/>
        <w:wordWrap/>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（四）出现重大安全事故及群体性事件的对外投资；</w:t>
      </w:r>
    </w:p>
    <w:p>
      <w:pPr>
        <w:widowControl w:val="0"/>
        <w:wordWrap/>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（五）存在严重违规行为的对外投资；</w:t>
      </w:r>
    </w:p>
    <w:p>
      <w:pPr>
        <w:widowControl w:val="0"/>
        <w:wordWrap/>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（六）其他情形的重大对外投资。</w:t>
      </w:r>
    </w:p>
    <w:p>
      <w:pPr>
        <w:widowControl w:val="0"/>
        <w:wordWrap/>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第十九条 商务部牵头开展对外投资“双随机、一公开”抽查工作，定期进行对外投资备案（核准）报告的真实性、完整性、及时性的事中事后监管工作。相关主管部门应根据各自职责制定相应的“双随机、一公开”抽查工作实施细则并开展抽查工作。</w:t>
      </w:r>
    </w:p>
    <w:p>
      <w:pPr>
        <w:widowControl w:val="0"/>
        <w:wordWrap/>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第二十条 相关主管部门每半年将重点督查和随机抽查的情况通报商务部汇总。</w:t>
      </w:r>
    </w:p>
    <w:p>
      <w:pPr>
        <w:widowControl w:val="0"/>
        <w:wordWrap/>
        <w:adjustRightInd w:val="0"/>
        <w:snapToGrid w:val="0"/>
        <w:spacing w:line="560" w:lineRule="exact"/>
        <w:ind w:firstLine="643" w:firstLineChars="200"/>
        <w:textAlignment w:val="auto"/>
        <w:rPr>
          <w:rFonts w:hint="eastAsia" w:ascii="仿宋" w:hAnsi="仿宋" w:eastAsia="仿宋" w:cs="仿宋"/>
          <w:b/>
          <w:bCs/>
          <w:sz w:val="32"/>
          <w:szCs w:val="40"/>
        </w:rPr>
      </w:pPr>
      <w:r>
        <w:rPr>
          <w:rFonts w:hint="eastAsia" w:ascii="仿宋" w:hAnsi="仿宋" w:eastAsia="仿宋" w:cs="仿宋"/>
          <w:b/>
          <w:bCs/>
          <w:sz w:val="32"/>
          <w:szCs w:val="40"/>
        </w:rPr>
        <w:t>第五章 事后举措</w:t>
      </w:r>
    </w:p>
    <w:p>
      <w:pPr>
        <w:widowControl w:val="0"/>
        <w:wordWrap/>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第二十一条 境内投资主体未按本《办法》规定履行备案（核准）手续和信息报告义务的，商务部会同相关主管部门视情采取提醒、约谈、通报等措施，必要时将其违规信息录入全国信用信息共享平台，对企业的行政处罚通过国家企业信息公示系统记于企业名下并向社会公示。</w:t>
      </w:r>
    </w:p>
    <w:p>
      <w:pPr>
        <w:widowControl w:val="0"/>
        <w:wordWrap/>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第二十二条 境内投资主体未按本《办法》规定履行备案（核准）手续和信息报告义务，情节严重的，相关主管部门根据各自职责，暂停为其办理对外投资备案（核准）手续，同时釆取相应措施。</w:t>
      </w:r>
    </w:p>
    <w:p>
      <w:pPr>
        <w:widowControl w:val="0"/>
        <w:wordWrap/>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第二十三条 相关主管部门在开展监管工作过程中，如发现境内投资主体存在偷逃税款、骗取外汇等行为，应将有关问题线索转交税务、公安、工商、外汇管理等部门依法处理。</w:t>
      </w:r>
    </w:p>
    <w:p>
      <w:pPr>
        <w:widowControl w:val="0"/>
        <w:wordWrap/>
        <w:adjustRightInd w:val="0"/>
        <w:snapToGrid w:val="0"/>
        <w:spacing w:line="560" w:lineRule="exact"/>
        <w:ind w:firstLine="643" w:firstLineChars="200"/>
        <w:textAlignment w:val="auto"/>
        <w:rPr>
          <w:rFonts w:hint="eastAsia" w:ascii="仿宋" w:hAnsi="仿宋" w:eastAsia="仿宋" w:cs="仿宋"/>
          <w:b/>
          <w:bCs/>
          <w:sz w:val="32"/>
          <w:szCs w:val="40"/>
        </w:rPr>
      </w:pPr>
      <w:r>
        <w:rPr>
          <w:rFonts w:hint="eastAsia" w:ascii="仿宋" w:hAnsi="仿宋" w:eastAsia="仿宋" w:cs="仿宋"/>
          <w:b/>
          <w:bCs/>
          <w:sz w:val="32"/>
          <w:szCs w:val="40"/>
        </w:rPr>
        <w:t>第六章 附则</w:t>
      </w:r>
    </w:p>
    <w:p>
      <w:pPr>
        <w:widowControl w:val="0"/>
        <w:wordWrap/>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第二十四条 中央管理的其他单位对外投资备案（核准）报告工作参照本《办法》执行。</w:t>
      </w:r>
    </w:p>
    <w:p>
      <w:pPr>
        <w:widowControl w:val="0"/>
        <w:wordWrap/>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第二十五条 本《办法》由发布部门共同负责解释。</w:t>
      </w:r>
    </w:p>
    <w:p>
      <w:pPr>
        <w:widowControl w:val="0"/>
        <w:wordWrap/>
        <w:adjustRightInd w:val="0"/>
        <w:snapToGrid w:val="0"/>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第二十六条 本《办法》自发布之日起实施。</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44637479"/>
    <w:rsid w:val="44637479"/>
    <w:rsid w:val="53E92DE9"/>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2022-02-17T16:25:00Z</dcterms:created>
  <dc:creator>ShiYongRen</dc:creator>
  <cp:lastModifiedBy>wjb</cp:lastModifiedBy>
  <cp:lastPrinted>2022-04-06T14:09:11Z</cp:lastPrinted>
  <dcterms:modified xsi:type="dcterms:W3CDTF">2022-04-07T07:39:46Z</dcterms:modified>
  <dc:title>对外投资备案(核准)报告暂行办法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